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67F3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</w:p>
    <w:p w14:paraId="0F18612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山东环境保护</w:t>
      </w:r>
      <w:r>
        <w:rPr>
          <w:rFonts w:hint="eastAsia"/>
          <w:b/>
          <w:bCs/>
          <w:sz w:val="36"/>
          <w:szCs w:val="36"/>
        </w:rPr>
        <w:t>基金会项目财务管理制度</w:t>
      </w:r>
    </w:p>
    <w:p w14:paraId="7CA10BFE">
      <w:pPr>
        <w:jc w:val="center"/>
        <w:rPr>
          <w:rFonts w:hint="eastAsia"/>
          <w:sz w:val="28"/>
          <w:szCs w:val="28"/>
        </w:rPr>
      </w:pPr>
    </w:p>
    <w:p w14:paraId="762EE6A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009421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为规范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（以下简称“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”）各类公益项目的资金管理，提高资金使用效益，确保项目资金安全、透明、合规、高效地用于公益目的，根据《中华人民共和国慈善法》、《中华人民共和国会计法》、《民间非营利组织会计制度》以及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《章程》等相关法律法规及内部规定，特制定本制度。</w:t>
      </w:r>
    </w:p>
    <w:p w14:paraId="5129DA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本制度适用于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立项、执行、管理的所有公益项目，包括但不限于环保宣传教育、生态修复、物种保护、气候变化应对、环境法律援助等。所有项目负责人、项目成员、财务人员及相关部门均须遵守。</w:t>
      </w:r>
    </w:p>
    <w:p w14:paraId="6EB10E0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基本原则</w:t>
      </w:r>
    </w:p>
    <w:p w14:paraId="4556D11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专款专用原则：项目资金必须严格按照捐赠协议、项目预算和立项书的规定用途使用，不得截留、挤占或挪用。</w:t>
      </w:r>
    </w:p>
    <w:p w14:paraId="14D40A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公开透明原则：项目资金的筹集、管理和使用情况应定期通过官方网站、年报等渠道向社会公众、捐赠人和相关利益方进行披露，接受监督。</w:t>
      </w:r>
    </w:p>
    <w:p w14:paraId="315DAFB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预算管理原则：所有项目均需编制详细预算，执行中以预算为依据进行控制和核算，确需调整的应履行审批程序。</w:t>
      </w:r>
    </w:p>
    <w:p w14:paraId="0B0172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成本效益原则：厉行节约，优化支出结构，严格控制管理费用的比例，确保绝大部分资金直接用于公益项目。</w:t>
      </w:r>
    </w:p>
    <w:p w14:paraId="5C16EEF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合规合法原则：所有财务活动必须符合国家相关财经法规和本组织的内部管理规定。</w:t>
      </w:r>
    </w:p>
    <w:p w14:paraId="437167DC">
      <w:pPr>
        <w:rPr>
          <w:rFonts w:hint="eastAsia"/>
          <w:sz w:val="28"/>
          <w:szCs w:val="28"/>
        </w:rPr>
      </w:pPr>
    </w:p>
    <w:p w14:paraId="3D9B168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管理职责与分工</w:t>
      </w:r>
    </w:p>
    <w:p w14:paraId="6D510D8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项目部门职责</w:t>
      </w:r>
    </w:p>
    <w:p w14:paraId="0B7EC25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负责项目方案的设计与申报，编制科学、合理、详细的项目预算。</w:t>
      </w:r>
    </w:p>
    <w:p w14:paraId="2C9FFD2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是项目预算执行的第一责任人，确保项目活动按计划开展，支出真实、合规、有效。</w:t>
      </w:r>
    </w:p>
    <w:p w14:paraId="2F550E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及时办理项目借款、报销手续，并对所提供票据和资料的真实性、合法性负责。</w:t>
      </w:r>
    </w:p>
    <w:p w14:paraId="34AE25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配合财务部门进行项目资金的结算、核算和决算工作。</w:t>
      </w:r>
    </w:p>
    <w:p w14:paraId="79E5BC0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负责项目执行过程中的物资采购与管理。</w:t>
      </w:r>
    </w:p>
    <w:p w14:paraId="3C9A41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财务部门职责</w:t>
      </w:r>
    </w:p>
    <w:p w14:paraId="6ED49BD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负责审核项目预算的合理性和合规性。</w:t>
      </w:r>
    </w:p>
    <w:p w14:paraId="64A2873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建立项目独立账套，进行专项核算，确保账目清晰、准确。</w:t>
      </w:r>
    </w:p>
    <w:p w14:paraId="5577CB2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审核项目支出的合规性，办理付款手续。</w:t>
      </w:r>
    </w:p>
    <w:p w14:paraId="79BC93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定期向项目部门反馈项目资金使用情况，进行预算执行预警。</w:t>
      </w:r>
    </w:p>
    <w:p w14:paraId="2A16418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编制项目财务报告，配合完成审计和评估工作。</w:t>
      </w:r>
    </w:p>
    <w:p w14:paraId="3AE3D8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负责项目资金的保值增值管理（在确保安全性和流动性的前提下）。</w:t>
      </w:r>
    </w:p>
    <w:p w14:paraId="13CD5E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秘书长负责对本制度执行的监督，审批重大预算调整和大额资金支付。</w:t>
      </w:r>
    </w:p>
    <w:p w14:paraId="0EF51475">
      <w:pPr>
        <w:rPr>
          <w:rFonts w:hint="eastAsia"/>
          <w:sz w:val="28"/>
          <w:szCs w:val="28"/>
        </w:rPr>
      </w:pPr>
    </w:p>
    <w:p w14:paraId="56C7026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项目预算管理</w:t>
      </w:r>
    </w:p>
    <w:p w14:paraId="634C19A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预算编制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项目负责人需在项目立项阶段，根据项目活动方案，编制详细的《项目预算表》。预算需列明各项支出的测算依据和标准（如差旅费标准参照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相关规定），并区分：</w:t>
      </w:r>
    </w:p>
    <w:p w14:paraId="4B6782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直接项目费用：直接用于受益对象和开展项目活动的费用（如物资采购、专家费、志愿者补贴、场地费、宣传制作费等）。</w:t>
      </w:r>
    </w:p>
    <w:p w14:paraId="19FFCD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间接费用：分摊的组织行政管理费用。</w:t>
      </w:r>
    </w:p>
    <w:p w14:paraId="78EA39B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预算审批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《项目预算表》需经项目部门负责人、财务部门审核，报秘书长审批后方可生效。对外报送或签署协议的项目预算，以此为准。</w:t>
      </w:r>
    </w:p>
    <w:p w14:paraId="471F65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预算调整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项目执行中因特殊情况需调整预算的，由项目部门提出书面申请，详细说明调整原因及内容，按原审批程序报批。重大调整需向主要捐赠方备案或征得同意。</w:t>
      </w:r>
    </w:p>
    <w:p w14:paraId="6CB1CF33">
      <w:pPr>
        <w:jc w:val="center"/>
        <w:rPr>
          <w:rFonts w:hint="eastAsia"/>
          <w:sz w:val="28"/>
          <w:szCs w:val="28"/>
        </w:rPr>
      </w:pPr>
    </w:p>
    <w:p w14:paraId="27CD090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项目收入与支出管理</w:t>
      </w:r>
    </w:p>
    <w:p w14:paraId="178F73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收入管理</w:t>
      </w:r>
    </w:p>
    <w:p w14:paraId="67D805D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所有项目捐赠收入必须及时、全额进入本组织官方银行账户，并开具合法捐赠票据。</w:t>
      </w:r>
    </w:p>
    <w:p w14:paraId="462275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财务部门需按项目及捐赠方建立明细台账，准确记录每一笔收入的来源、金额和时间。</w:t>
      </w:r>
    </w:p>
    <w:p w14:paraId="2D270A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支出管理</w:t>
      </w:r>
    </w:p>
    <w:p w14:paraId="5BEE48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支出审批：所有项目支出均需履行审批手续。经办人、证明人签字，项目负责人核准，财务审核，根据金额大小报秘书长/理事长审批。</w:t>
      </w:r>
    </w:p>
    <w:p w14:paraId="13B2D3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报销凭证：所有支出必须取得合法、真实、完整的原始凭证（发票、合同、支付记录、验收单等）。票据抬头必须是本组织全称。</w:t>
      </w:r>
    </w:p>
    <w:p w14:paraId="2E77B4B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资金支付：原则上采用银行转账方式支付，减少现金使用。大额采购需签订合同。</w:t>
      </w:r>
    </w:p>
    <w:p w14:paraId="04C0EB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禁止事项：严禁白条抵库；严禁虚假报销；严禁超范围、超标准支出。</w:t>
      </w:r>
    </w:p>
    <w:p w14:paraId="4B6B4F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特殊费用管理</w:t>
      </w:r>
    </w:p>
    <w:p w14:paraId="63928F1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人员成本（工资、补贴）：明确区分专职人员工资（从管理费用列支）和项目专家/志愿者补贴（从项目直接费用列支）。补贴发放需有签到表、服务记录等证明文件。</w:t>
      </w:r>
    </w:p>
    <w:p w14:paraId="68612FD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采购管理：金额</w:t>
      </w:r>
      <w:r>
        <w:rPr>
          <w:rFonts w:hint="eastAsia"/>
          <w:sz w:val="28"/>
          <w:szCs w:val="28"/>
          <w:lang w:val="en-US" w:eastAsia="zh-CN"/>
        </w:rPr>
        <w:t>超过1万元</w:t>
      </w:r>
      <w:r>
        <w:rPr>
          <w:rFonts w:hint="eastAsia"/>
          <w:sz w:val="28"/>
          <w:szCs w:val="28"/>
        </w:rPr>
        <w:t>的采购，需进行比价或询价；</w:t>
      </w:r>
      <w:r>
        <w:rPr>
          <w:rFonts w:hint="eastAsia"/>
          <w:sz w:val="28"/>
          <w:szCs w:val="28"/>
          <w:lang w:val="en-US" w:eastAsia="zh-CN"/>
        </w:rPr>
        <w:t>同时</w:t>
      </w:r>
      <w:r>
        <w:rPr>
          <w:rFonts w:hint="eastAsia"/>
          <w:sz w:val="28"/>
          <w:szCs w:val="28"/>
        </w:rPr>
        <w:t>建立物资入库领用台账。</w:t>
      </w:r>
    </w:p>
    <w:p w14:paraId="47E905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差旅费用：严格执行本组织差旅费管理办法规定的标准。</w:t>
      </w:r>
    </w:p>
    <w:p w14:paraId="42EE944D">
      <w:pPr>
        <w:rPr>
          <w:rFonts w:hint="eastAsia"/>
          <w:sz w:val="28"/>
          <w:szCs w:val="28"/>
        </w:rPr>
      </w:pPr>
    </w:p>
    <w:p w14:paraId="460DF2F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项目核算与报告</w:t>
      </w:r>
    </w:p>
    <w:p w14:paraId="1385F4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项目核算</w:t>
      </w:r>
    </w:p>
    <w:p w14:paraId="462C61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财务部门应以每个项目为核算对象，设置会计科目，进行独立核算，清晰反映项目的收入、成本、费用和结余情况。</w:t>
      </w:r>
    </w:p>
    <w:p w14:paraId="12CD32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财务报告</w:t>
      </w:r>
    </w:p>
    <w:p w14:paraId="4B21C3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定期报告：财务部门应按季向项目部门和管理层提供《项目预算执行情况表》，通报资金使用进度和结余。</w:t>
      </w:r>
    </w:p>
    <w:p w14:paraId="1F1CFA8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决算报告：项目结束后三个月内，项目部门应会同财务部门编制《项目财务决算报告》，全面反映项目资金收支情况及绩效。</w:t>
      </w:r>
    </w:p>
    <w:p w14:paraId="7C9D20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公开披露：按法律规定和捐赠协议约定，通过年度报告、审计报告等形式向社会公开项目资金使用情况。</w:t>
      </w:r>
    </w:p>
    <w:p w14:paraId="33EB3E89">
      <w:pPr>
        <w:rPr>
          <w:rFonts w:hint="eastAsia"/>
          <w:sz w:val="28"/>
          <w:szCs w:val="28"/>
        </w:rPr>
      </w:pPr>
    </w:p>
    <w:p w14:paraId="23EA446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资产与档案管理</w:t>
      </w:r>
    </w:p>
    <w:p w14:paraId="58377CD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使用项目资金形成的固定资产（如设备、仪器）和无形资产，其所有权归本组织所有，需纳入组织统一资产管理体系。</w:t>
      </w:r>
    </w:p>
    <w:p w14:paraId="2A3EB7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项目所有的财务文档，包括预算表、审批单、合同、发票、决算报告、审计报告等，均为重要档案，需按项目分类整理，及时归档，长期保存（保存期限不少于15年）。</w:t>
      </w:r>
    </w:p>
    <w:p w14:paraId="073A17AA">
      <w:pPr>
        <w:rPr>
          <w:rFonts w:hint="eastAsia"/>
          <w:sz w:val="28"/>
          <w:szCs w:val="28"/>
        </w:rPr>
      </w:pPr>
    </w:p>
    <w:p w14:paraId="188BE83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第七章 审计与监督</w:t>
      </w:r>
    </w:p>
    <w:p w14:paraId="7212721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内部监督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财务部门有权对项目资金的使用进行日常监督和检查。理事会、监事会有权对项目财务管理情况进行监督。</w:t>
      </w:r>
    </w:p>
    <w:p w14:paraId="2680DD0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外部审计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所有项目应接受年度审计和专项审计。重大项目或使用大额资金的项目，在结项后应聘请第三方独立会计师事务所进行专项审计，并向社会公布审计结果。</w:t>
      </w:r>
    </w:p>
    <w:p w14:paraId="6EB13876">
      <w:pPr>
        <w:rPr>
          <w:rFonts w:hint="eastAsia"/>
          <w:sz w:val="28"/>
          <w:szCs w:val="28"/>
        </w:rPr>
      </w:pPr>
    </w:p>
    <w:p w14:paraId="6719545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第八章 附则</w:t>
      </w:r>
    </w:p>
    <w:p w14:paraId="5764BDF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本制度由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负责解释。</w:t>
      </w:r>
    </w:p>
    <w:p w14:paraId="078E2208">
      <w:pPr>
        <w:pStyle w:val="4"/>
        <w:widowControl/>
        <w:autoSpaceDE w:val="0"/>
        <w:autoSpaceDN w:val="0"/>
        <w:spacing w:line="500" w:lineRule="exact"/>
        <w:ind w:firstLine="560" w:firstLineChars="200"/>
        <w:textAlignment w:val="bottom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第二十条 本规定经2016年9月26日理事会议审议通过并即日起执行。</w:t>
      </w:r>
    </w:p>
    <w:p w14:paraId="3B68133B">
      <w:pPr>
        <w:rPr>
          <w:rFonts w:hint="eastAsia"/>
          <w:sz w:val="28"/>
          <w:szCs w:val="28"/>
        </w:rPr>
      </w:pPr>
    </w:p>
    <w:p w14:paraId="044C8162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F2341"/>
    <w:rsid w:val="486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2213</Words>
  <Characters>2218</Characters>
  <Lines>0</Lines>
  <Paragraphs>0</Paragraphs>
  <TotalTime>0</TotalTime>
  <ScaleCrop>false</ScaleCrop>
  <LinksUpToDate>false</LinksUpToDate>
  <CharactersWithSpaces>2246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2025-09-10T07:07:00Z</dcterms:created>
  <dc:creator>Administrator</dc:creator>
  <cp:lastModifiedBy>红炎</cp:lastModifiedBy>
  <dcterms:modified xsi:type="dcterms:W3CDTF">2025-09-10T07:58:58Z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A22E87F22B0A49898B8F6E7E58220CD7_12</vt:lpwstr>
  </property>
</Properties>
</file>